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FC9A9C4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11531">
        <w:rPr>
          <w:rFonts w:ascii="Arial" w:hAnsi="Arial" w:cs="Arial"/>
          <w:b/>
          <w:sz w:val="24"/>
          <w:szCs w:val="28"/>
          <w:lang w:val="en-US"/>
        </w:rPr>
        <w:t>3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9C3AA8">
        <w:rPr>
          <w:rFonts w:ascii="Arial" w:hAnsi="Arial" w:cs="Arial"/>
          <w:b/>
          <w:sz w:val="24"/>
          <w:szCs w:val="28"/>
          <w:lang w:val="en-US"/>
        </w:rPr>
        <w:t>15004</w:t>
      </w:r>
      <w:bookmarkStart w:id="0" w:name="_GoBack"/>
      <w:bookmarkEnd w:id="0"/>
    </w:p>
    <w:p w14:paraId="60407F1B" w14:textId="4C2F06B6" w:rsidR="00CC6F36" w:rsidRPr="009C3AA8" w:rsidRDefault="0093497C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sv-SE"/>
        </w:rPr>
      </w:pPr>
      <w:r w:rsidRPr="009C3AA8">
        <w:rPr>
          <w:rFonts w:ascii="Arial" w:hAnsi="Arial" w:cs="Arial"/>
          <w:b/>
          <w:sz w:val="24"/>
          <w:szCs w:val="28"/>
          <w:lang w:val="sv-SE"/>
        </w:rPr>
        <w:t>Reno</w:t>
      </w:r>
      <w:r w:rsidR="00474662" w:rsidRPr="009C3AA8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9C3AA8">
        <w:rPr>
          <w:rFonts w:ascii="Arial" w:hAnsi="Arial" w:cs="Arial"/>
          <w:b/>
          <w:sz w:val="24"/>
          <w:szCs w:val="28"/>
          <w:lang w:val="sv-SE"/>
        </w:rPr>
        <w:t>USA</w:t>
      </w:r>
      <w:r w:rsidR="00CC6F36" w:rsidRPr="009C3AA8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9C3AA8">
        <w:rPr>
          <w:rFonts w:ascii="Arial" w:hAnsi="Arial" w:cs="Arial"/>
          <w:b/>
          <w:sz w:val="24"/>
          <w:szCs w:val="28"/>
          <w:lang w:val="sv-SE"/>
        </w:rPr>
        <w:t>Novem</w:t>
      </w:r>
      <w:r w:rsidR="00D21F95" w:rsidRPr="009C3AA8">
        <w:rPr>
          <w:rFonts w:ascii="Arial" w:hAnsi="Arial" w:cs="Arial"/>
          <w:b/>
          <w:sz w:val="24"/>
          <w:szCs w:val="28"/>
          <w:lang w:val="sv-SE"/>
        </w:rPr>
        <w:t>ber 1</w:t>
      </w:r>
      <w:r w:rsidRPr="009C3AA8">
        <w:rPr>
          <w:rFonts w:ascii="Arial" w:hAnsi="Arial" w:cs="Arial"/>
          <w:b/>
          <w:sz w:val="24"/>
          <w:szCs w:val="28"/>
          <w:lang w:val="sv-SE"/>
        </w:rPr>
        <w:t>8-22</w:t>
      </w:r>
      <w:r w:rsidR="00CC6F36" w:rsidRPr="009C3AA8">
        <w:rPr>
          <w:rFonts w:ascii="Arial" w:hAnsi="Arial" w:cs="Arial"/>
          <w:b/>
          <w:sz w:val="24"/>
          <w:szCs w:val="28"/>
          <w:lang w:val="sv-SE"/>
        </w:rPr>
        <w:t>, 201</w:t>
      </w:r>
      <w:r w:rsidR="00AA5EC6" w:rsidRPr="009C3AA8">
        <w:rPr>
          <w:rFonts w:ascii="Arial" w:hAnsi="Arial" w:cs="Arial"/>
          <w:b/>
          <w:sz w:val="24"/>
          <w:szCs w:val="28"/>
          <w:lang w:val="sv-SE"/>
        </w:rPr>
        <w:t>9</w:t>
      </w:r>
    </w:p>
    <w:p w14:paraId="25590F8B" w14:textId="0741AB52" w:rsidR="00CC6F36" w:rsidRPr="009C3AA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sv-SE"/>
        </w:rPr>
      </w:pPr>
      <w:r w:rsidRPr="009C3AA8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9C3AA8">
        <w:rPr>
          <w:rFonts w:ascii="Arial" w:hAnsi="Arial" w:cs="Arial"/>
          <w:b/>
          <w:sz w:val="22"/>
          <w:szCs w:val="22"/>
          <w:lang w:val="sv-SE"/>
        </w:rPr>
        <w:tab/>
      </w:r>
      <w:r w:rsidR="006E65E2" w:rsidRPr="009C3AA8">
        <w:rPr>
          <w:rFonts w:ascii="Arial" w:hAnsi="Arial" w:cs="Arial"/>
          <w:sz w:val="22"/>
          <w:szCs w:val="22"/>
          <w:lang w:val="sv-SE"/>
        </w:rPr>
        <w:t>9.5.5.1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942F2C4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93497C" w:rsidRPr="0093497C">
        <w:rPr>
          <w:rFonts w:ascii="Arial" w:hAnsi="Arial" w:cs="Arial"/>
          <w:sz w:val="22"/>
          <w:szCs w:val="22"/>
        </w:rPr>
        <w:t>RRC connection mobility control</w:t>
      </w:r>
      <w:r w:rsidR="0093497C">
        <w:rPr>
          <w:rFonts w:ascii="Arial" w:hAnsi="Arial" w:cs="Arial"/>
          <w:sz w:val="22"/>
          <w:szCs w:val="22"/>
        </w:rPr>
        <w:t xml:space="preserve"> requirements for IAB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F3063F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4E09F4DC" w14:textId="77777777" w:rsidR="009C7EA1" w:rsidRPr="00EE3BD7" w:rsidRDefault="009828FE" w:rsidP="009C7EA1">
      <w:pPr>
        <w:spacing w:before="120" w:after="0"/>
        <w:rPr>
          <w:lang w:val="en-US"/>
        </w:rPr>
      </w:pPr>
      <w:r w:rsidRPr="00EE3BD7">
        <w:rPr>
          <w:lang w:val="en-US"/>
        </w:rPr>
        <w:t>In RAN4</w:t>
      </w:r>
      <w:r w:rsidR="00087C28" w:rsidRPr="00EE3BD7">
        <w:rPr>
          <w:lang w:val="en-US"/>
        </w:rPr>
        <w:t>#9</w:t>
      </w:r>
      <w:r w:rsidR="00185594" w:rsidRPr="00EE3BD7">
        <w:rPr>
          <w:lang w:val="en-US"/>
        </w:rPr>
        <w:t>2</w:t>
      </w:r>
      <w:r w:rsidR="00016F6F" w:rsidRPr="00EE3BD7">
        <w:rPr>
          <w:lang w:val="en-US"/>
        </w:rPr>
        <w:t>bis meeting</w:t>
      </w:r>
      <w:r w:rsidR="00087C28" w:rsidRPr="00EE3BD7">
        <w:rPr>
          <w:lang w:val="en-US"/>
        </w:rPr>
        <w:t xml:space="preserve"> </w:t>
      </w:r>
      <w:r w:rsidR="0032110B" w:rsidRPr="00EE3BD7">
        <w:rPr>
          <w:lang w:val="en-US"/>
        </w:rPr>
        <w:t xml:space="preserve">the WF </w:t>
      </w:r>
      <w:r w:rsidR="00016F6F" w:rsidRPr="00EE3BD7">
        <w:rPr>
          <w:lang w:val="en-US"/>
        </w:rPr>
        <w:t xml:space="preserve">on </w:t>
      </w:r>
      <w:r w:rsidR="0032110B" w:rsidRPr="00EE3BD7">
        <w:rPr>
          <w:lang w:val="en-US"/>
        </w:rPr>
        <w:t>RRM requirements</w:t>
      </w:r>
      <w:r w:rsidR="00C50450" w:rsidRPr="00EE3BD7">
        <w:rPr>
          <w:lang w:val="en-US"/>
        </w:rPr>
        <w:t xml:space="preserve"> </w:t>
      </w:r>
      <w:r w:rsidR="00016F6F" w:rsidRPr="00EE3BD7">
        <w:rPr>
          <w:lang w:val="en-US"/>
        </w:rPr>
        <w:t xml:space="preserve">for IAB </w:t>
      </w:r>
      <w:r w:rsidR="00087C28" w:rsidRPr="00EE3BD7">
        <w:rPr>
          <w:lang w:val="en-US"/>
        </w:rPr>
        <w:t xml:space="preserve">was approved </w:t>
      </w:r>
      <w:r w:rsidR="00C50450" w:rsidRPr="00EE3BD7">
        <w:rPr>
          <w:lang w:val="en-US"/>
        </w:rPr>
        <w:t>[</w:t>
      </w:r>
      <w:r w:rsidR="00087C28" w:rsidRPr="00EE3BD7">
        <w:rPr>
          <w:lang w:val="en-US"/>
        </w:rPr>
        <w:t>1</w:t>
      </w:r>
      <w:r w:rsidR="00C50450" w:rsidRPr="00EE3BD7">
        <w:rPr>
          <w:lang w:val="en-US"/>
        </w:rPr>
        <w:t>]</w:t>
      </w:r>
      <w:r w:rsidR="009C7EA1" w:rsidRPr="00EE3BD7">
        <w:rPr>
          <w:lang w:val="en-US"/>
        </w:rPr>
        <w:t xml:space="preserve">. </w:t>
      </w:r>
    </w:p>
    <w:p w14:paraId="19D41B29" w14:textId="27991BB0" w:rsidR="00016F6F" w:rsidRPr="00EE3BD7" w:rsidRDefault="009C7EA1" w:rsidP="009C7EA1">
      <w:pPr>
        <w:spacing w:before="120" w:after="0"/>
        <w:rPr>
          <w:lang w:val="en-US"/>
        </w:rPr>
      </w:pPr>
      <w:r w:rsidRPr="00EE3BD7">
        <w:rPr>
          <w:lang w:val="en-US"/>
        </w:rPr>
        <w:t xml:space="preserve">According to the WF the following requirements will be specified for IAB. </w:t>
      </w:r>
      <w:proofErr w:type="gramStart"/>
      <w:r w:rsidRPr="00EE3BD7">
        <w:rPr>
          <w:lang w:val="en-US"/>
        </w:rPr>
        <w:t>With the exception of</w:t>
      </w:r>
      <w:proofErr w:type="gramEnd"/>
      <w:r w:rsidRPr="00EE3BD7">
        <w:rPr>
          <w:lang w:val="en-US"/>
        </w:rPr>
        <w:t xml:space="preserve"> the last requirement (cell phase sync), the details of these requirements need further discussion.</w:t>
      </w:r>
    </w:p>
    <w:p w14:paraId="6A8920FF" w14:textId="77777777" w:rsidR="00016F6F" w:rsidRPr="00EE3BD7" w:rsidRDefault="00016F6F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RRC re-establishment</w:t>
      </w:r>
    </w:p>
    <w:p w14:paraId="29C3D63E" w14:textId="77777777" w:rsidR="00016F6F" w:rsidRPr="00EE3BD7" w:rsidRDefault="00016F6F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Random access</w:t>
      </w:r>
    </w:p>
    <w:p w14:paraId="384FBEA9" w14:textId="0016F37D" w:rsidR="00016F6F" w:rsidRPr="00EE3BD7" w:rsidRDefault="00016F6F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RRC release with redirection</w:t>
      </w:r>
    </w:p>
    <w:p w14:paraId="4A2BE042" w14:textId="7D562E2B" w:rsidR="00FD6703" w:rsidRPr="00FD6703" w:rsidRDefault="00FD6703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FD6703">
        <w:rPr>
          <w:lang w:val="en-US"/>
        </w:rPr>
        <w:t>MT transmit timing (</w:t>
      </w:r>
      <w:proofErr w:type="spellStart"/>
      <w:r w:rsidRPr="00FD6703">
        <w:rPr>
          <w:lang w:val="en-US"/>
        </w:rPr>
        <w:t>Te</w:t>
      </w:r>
      <w:proofErr w:type="spellEnd"/>
      <w:r w:rsidRPr="00FD6703">
        <w:rPr>
          <w:lang w:val="en-US"/>
        </w:rPr>
        <w:t xml:space="preserve"> and </w:t>
      </w:r>
      <w:proofErr w:type="spellStart"/>
      <w:r w:rsidRPr="00FD6703">
        <w:rPr>
          <w:lang w:val="en-US"/>
        </w:rPr>
        <w:t>Tq</w:t>
      </w:r>
      <w:proofErr w:type="spellEnd"/>
      <w:r w:rsidRPr="00FD6703">
        <w:rPr>
          <w:lang w:val="en-US"/>
        </w:rPr>
        <w:t>)</w:t>
      </w:r>
      <w:r w:rsidR="006E65E2">
        <w:rPr>
          <w:lang w:val="en-US"/>
        </w:rPr>
        <w:t>s</w:t>
      </w:r>
    </w:p>
    <w:p w14:paraId="73CB0E25" w14:textId="49F5F6E7" w:rsidR="00FD6703" w:rsidRPr="00EE3BD7" w:rsidRDefault="00FD6703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Timing Advance</w:t>
      </w:r>
    </w:p>
    <w:p w14:paraId="7C0DC81E" w14:textId="6F0376E2" w:rsidR="00FD6703" w:rsidRPr="00EE3BD7" w:rsidRDefault="006E5328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DU timing requirements: cell phase sync = 3 us</w:t>
      </w:r>
    </w:p>
    <w:p w14:paraId="6F6D104D" w14:textId="4082384F" w:rsidR="0032110B" w:rsidRPr="00EE3BD7" w:rsidRDefault="00F83E73" w:rsidP="008F549F">
      <w:pPr>
        <w:spacing w:before="240" w:after="0"/>
        <w:rPr>
          <w:lang w:val="en-US"/>
        </w:rPr>
      </w:pPr>
      <w:r w:rsidRPr="00EE3BD7">
        <w:rPr>
          <w:lang w:val="en-US"/>
        </w:rPr>
        <w:t xml:space="preserve">In this paper we </w:t>
      </w:r>
      <w:r w:rsidR="004D59A5" w:rsidRPr="00EE3BD7">
        <w:rPr>
          <w:lang w:val="en-US"/>
        </w:rPr>
        <w:t xml:space="preserve">provide </w:t>
      </w:r>
      <w:r w:rsidR="00087C28" w:rsidRPr="00EE3BD7">
        <w:rPr>
          <w:lang w:val="en-US"/>
        </w:rPr>
        <w:t xml:space="preserve">further </w:t>
      </w:r>
      <w:r w:rsidR="00B74D73" w:rsidRPr="00EE3BD7">
        <w:rPr>
          <w:lang w:val="en-US"/>
        </w:rPr>
        <w:t xml:space="preserve">analysis </w:t>
      </w:r>
      <w:r w:rsidR="004D59A5" w:rsidRPr="00EE3BD7">
        <w:rPr>
          <w:lang w:val="en-US"/>
        </w:rPr>
        <w:t xml:space="preserve">on </w:t>
      </w:r>
      <w:r w:rsidR="00B74D73" w:rsidRPr="00EE3BD7">
        <w:rPr>
          <w:lang w:val="en-US"/>
        </w:rPr>
        <w:t>the</w:t>
      </w:r>
      <w:r w:rsidR="00DC6C57">
        <w:rPr>
          <w:lang w:val="en-US"/>
        </w:rPr>
        <w:t xml:space="preserve"> </w:t>
      </w:r>
      <w:r w:rsidR="00087C28" w:rsidRPr="00EE3BD7">
        <w:rPr>
          <w:lang w:val="en-US"/>
        </w:rPr>
        <w:t xml:space="preserve">RRM </w:t>
      </w:r>
      <w:r w:rsidR="00B74D73" w:rsidRPr="00EE3BD7">
        <w:rPr>
          <w:lang w:val="en-US"/>
        </w:rPr>
        <w:t xml:space="preserve">requirement </w:t>
      </w:r>
      <w:r w:rsidR="00DC6C57">
        <w:rPr>
          <w:lang w:val="en-US"/>
        </w:rPr>
        <w:t xml:space="preserve">related to the </w:t>
      </w:r>
      <w:r w:rsidR="00DC6C57" w:rsidRPr="00DC6C57">
        <w:rPr>
          <w:lang w:val="en-US"/>
        </w:rPr>
        <w:t xml:space="preserve">connection mobility control </w:t>
      </w:r>
      <w:r w:rsidR="004D59A5" w:rsidRPr="00EE3BD7">
        <w:rPr>
          <w:lang w:val="en-US"/>
        </w:rPr>
        <w:t>which</w:t>
      </w:r>
      <w:r w:rsidR="002E40A4">
        <w:rPr>
          <w:lang w:val="en-US"/>
        </w:rPr>
        <w:t xml:space="preserve"> were </w:t>
      </w:r>
      <w:r w:rsidR="004D59A5" w:rsidRPr="00EE3BD7">
        <w:rPr>
          <w:lang w:val="en-US"/>
        </w:rPr>
        <w:t>agreed to be introduced in the specification</w:t>
      </w:r>
      <w:r w:rsidR="00B74D73" w:rsidRPr="00EE3BD7">
        <w:rPr>
          <w:lang w:val="en-US"/>
        </w:rPr>
        <w:t xml:space="preserve">. </w:t>
      </w:r>
    </w:p>
    <w:p w14:paraId="6343CBEA" w14:textId="06100C4C" w:rsidR="00F377FF" w:rsidRDefault="00DE064F" w:rsidP="00F3063F">
      <w:pPr>
        <w:pStyle w:val="Heading1"/>
        <w:numPr>
          <w:ilvl w:val="0"/>
          <w:numId w:val="2"/>
        </w:numPr>
        <w:spacing w:before="360" w:after="0"/>
        <w:ind w:left="357" w:hanging="357"/>
      </w:pPr>
      <w:r>
        <w:t xml:space="preserve">Analysis of </w:t>
      </w:r>
      <w:r w:rsidR="002E40A4" w:rsidRPr="00DC6C57">
        <w:rPr>
          <w:lang w:val="en-US"/>
        </w:rPr>
        <w:t xml:space="preserve">connection mobility control </w:t>
      </w:r>
      <w:r>
        <w:t>requirement</w:t>
      </w:r>
      <w:r w:rsidR="00E1469A">
        <w:t xml:space="preserve"> </w:t>
      </w:r>
      <w:r w:rsidR="00013D9A">
        <w:t>agreed for IAB</w:t>
      </w:r>
    </w:p>
    <w:p w14:paraId="37413C6B" w14:textId="7B63725E" w:rsidR="002E40A4" w:rsidRDefault="002E40A4" w:rsidP="005370B3">
      <w:pPr>
        <w:spacing w:before="240" w:after="120"/>
      </w:pPr>
      <w:r>
        <w:t xml:space="preserve">The requirements related to the RRC </w:t>
      </w:r>
      <w:r w:rsidRPr="002E40A4">
        <w:t xml:space="preserve">connection mobility control </w:t>
      </w:r>
      <w:r>
        <w:t>comprise the following:</w:t>
      </w:r>
    </w:p>
    <w:p w14:paraId="48322C37" w14:textId="77777777" w:rsidR="002E40A4" w:rsidRPr="00EE3BD7" w:rsidRDefault="002E40A4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RRC re-establishment</w:t>
      </w:r>
    </w:p>
    <w:p w14:paraId="47D71ADD" w14:textId="77777777" w:rsidR="002E40A4" w:rsidRPr="00EE3BD7" w:rsidRDefault="002E40A4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Random access</w:t>
      </w:r>
    </w:p>
    <w:p w14:paraId="0B97063C" w14:textId="1A22C6E8" w:rsidR="002E40A4" w:rsidRPr="002E40A4" w:rsidRDefault="002E40A4" w:rsidP="00F3063F">
      <w:pPr>
        <w:pStyle w:val="BodyText"/>
        <w:numPr>
          <w:ilvl w:val="0"/>
          <w:numId w:val="4"/>
        </w:numPr>
        <w:spacing w:before="120" w:after="0"/>
        <w:rPr>
          <w:lang w:val="en-US"/>
        </w:rPr>
      </w:pPr>
      <w:r w:rsidRPr="00EE3BD7">
        <w:rPr>
          <w:lang w:val="en-US"/>
        </w:rPr>
        <w:t>RRC release with redirection</w:t>
      </w:r>
    </w:p>
    <w:p w14:paraId="2F8AE5AA" w14:textId="4D7B7D84" w:rsidR="002E40A4" w:rsidRDefault="002E40A4" w:rsidP="002E40A4">
      <w:pPr>
        <w:pStyle w:val="Heading2"/>
      </w:pPr>
      <w:r>
        <w:t xml:space="preserve">2.1. </w:t>
      </w:r>
      <w:r w:rsidR="004D59A5" w:rsidRPr="009161D4">
        <w:t xml:space="preserve">RRC </w:t>
      </w:r>
      <w:r>
        <w:t xml:space="preserve">connection </w:t>
      </w:r>
      <w:r w:rsidR="004D59A5" w:rsidRPr="009161D4">
        <w:t>re-establishment</w:t>
      </w:r>
    </w:p>
    <w:p w14:paraId="6944E0FA" w14:textId="1277D71A" w:rsidR="00DF2BBB" w:rsidRDefault="002E40A4" w:rsidP="002E40A4">
      <w:pPr>
        <w:spacing w:before="120"/>
        <w:ind w:left="357"/>
      </w:pPr>
      <w:r w:rsidRPr="002E40A4">
        <w:t xml:space="preserve">RRC re-establishment requirements </w:t>
      </w:r>
      <w:r>
        <w:t xml:space="preserve">for the UE are defined in terms of delay or time required to </w:t>
      </w:r>
      <w:r w:rsidR="00DF2BBB">
        <w:t>re-establish the connection to a target intra-frequency or inter-frequency cell.</w:t>
      </w:r>
    </w:p>
    <w:p w14:paraId="4D0DC038" w14:textId="48727024" w:rsidR="002E40A4" w:rsidRDefault="004D59A5" w:rsidP="002E40A4">
      <w:pPr>
        <w:spacing w:before="120"/>
        <w:ind w:left="357"/>
      </w:pPr>
      <w:r w:rsidRPr="002E40A4">
        <w:t xml:space="preserve">The existing </w:t>
      </w:r>
      <w:r w:rsidR="00974237" w:rsidRPr="002E40A4">
        <w:t xml:space="preserve">RRC re-establishment </w:t>
      </w:r>
      <w:r w:rsidRPr="002E40A4">
        <w:t xml:space="preserve">requirements defined in section </w:t>
      </w:r>
      <w:r w:rsidR="005370B3" w:rsidRPr="002E40A4">
        <w:t>6.2.1</w:t>
      </w:r>
      <w:r w:rsidR="00171FCF" w:rsidRPr="002E40A4">
        <w:t xml:space="preserve"> of TS 38.133 </w:t>
      </w:r>
      <w:r w:rsidR="005370B3" w:rsidRPr="002E40A4">
        <w:t xml:space="preserve">for the UE are derived assuming </w:t>
      </w:r>
      <w:r w:rsidR="00927534" w:rsidRPr="002E40A4">
        <w:t xml:space="preserve">the SSB periodicity of 20 </w:t>
      </w:r>
      <w:proofErr w:type="spellStart"/>
      <w:r w:rsidR="00927534" w:rsidRPr="002E40A4">
        <w:t>ms</w:t>
      </w:r>
      <w:proofErr w:type="spellEnd"/>
      <w:r w:rsidR="00927534" w:rsidRPr="002E40A4">
        <w:t xml:space="preserve"> for initial access. </w:t>
      </w:r>
    </w:p>
    <w:p w14:paraId="6429B302" w14:textId="21E443E7" w:rsidR="00171FCF" w:rsidRPr="002E40A4" w:rsidRDefault="00927534" w:rsidP="002E40A4">
      <w:pPr>
        <w:spacing w:before="120"/>
        <w:ind w:left="357"/>
      </w:pPr>
      <w:r w:rsidRPr="002E40A4">
        <w:t xml:space="preserve">The SSB periodicity of 20 </w:t>
      </w:r>
      <w:proofErr w:type="spellStart"/>
      <w:r w:rsidRPr="002E40A4">
        <w:t>ms</w:t>
      </w:r>
      <w:proofErr w:type="spellEnd"/>
      <w:r w:rsidRPr="002E40A4">
        <w:t xml:space="preserve"> for initial access is 160 </w:t>
      </w:r>
      <w:proofErr w:type="spellStart"/>
      <w:r w:rsidRPr="002E40A4">
        <w:t>ms</w:t>
      </w:r>
      <w:proofErr w:type="spellEnd"/>
      <w:r w:rsidRPr="002E40A4">
        <w:t xml:space="preserve">. Therefore, some aspects of the requirements defined in section 6.2.1 needs to be adapted to SSB periodicity of 160 </w:t>
      </w:r>
      <w:proofErr w:type="spellStart"/>
      <w:r w:rsidRPr="002E40A4">
        <w:t>ms</w:t>
      </w:r>
      <w:proofErr w:type="spellEnd"/>
      <w:r w:rsidRPr="002E40A4">
        <w:t xml:space="preserve">. </w:t>
      </w:r>
      <w:r w:rsidR="00974237" w:rsidRPr="002E40A4">
        <w:t>Furthermore</w:t>
      </w:r>
      <w:r w:rsidR="00EB3818" w:rsidRPr="002E40A4">
        <w:t>,</w:t>
      </w:r>
      <w:r w:rsidR="00974237" w:rsidRPr="002E40A4">
        <w:t xml:space="preserve"> the minimum cell identification time needs to be extended to </w:t>
      </w:r>
      <w:proofErr w:type="spellStart"/>
      <w:r w:rsidR="00974237" w:rsidRPr="002E40A4">
        <w:t>accoumt</w:t>
      </w:r>
      <w:proofErr w:type="spellEnd"/>
      <w:r w:rsidR="00974237" w:rsidRPr="002E40A4">
        <w:t xml:space="preserve"> for longest SSB periodicity supported for IAB. </w:t>
      </w:r>
      <w:r w:rsidRPr="002E40A4">
        <w:t xml:space="preserve">Otherwise in principle the basic concept of section 6.2.1 can be used for deriving the corresponding requirements for IAB. </w:t>
      </w:r>
    </w:p>
    <w:p w14:paraId="6CB0B077" w14:textId="503E45B8" w:rsidR="00DF2BBB" w:rsidRPr="00DF2BBB" w:rsidRDefault="004D59A5" w:rsidP="00F3063F">
      <w:pPr>
        <w:pStyle w:val="Heading2"/>
        <w:numPr>
          <w:ilvl w:val="1"/>
          <w:numId w:val="5"/>
        </w:numPr>
      </w:pPr>
      <w:r w:rsidRPr="00DF2BBB">
        <w:t>Random access</w:t>
      </w:r>
    </w:p>
    <w:p w14:paraId="1F6AB69E" w14:textId="77777777" w:rsidR="00DF2BBB" w:rsidRDefault="00DF2BBB" w:rsidP="00DF2BBB">
      <w:pPr>
        <w:pStyle w:val="ListParagraph"/>
        <w:spacing w:before="120"/>
        <w:ind w:left="357"/>
        <w:contextualSpacing w:val="0"/>
        <w:rPr>
          <w:rFonts w:ascii="Times New Roman" w:hAnsi="Times New Roman"/>
          <w:sz w:val="20"/>
        </w:rPr>
      </w:pPr>
      <w:r w:rsidRPr="009161D4">
        <w:rPr>
          <w:rFonts w:ascii="Times New Roman" w:hAnsi="Times New Roman"/>
          <w:sz w:val="20"/>
        </w:rPr>
        <w:t>The existing random</w:t>
      </w:r>
      <w:r>
        <w:rPr>
          <w:rFonts w:ascii="Times New Roman" w:hAnsi="Times New Roman"/>
          <w:sz w:val="20"/>
        </w:rPr>
        <w:t xml:space="preserve"> </w:t>
      </w:r>
      <w:r w:rsidRPr="009161D4">
        <w:rPr>
          <w:rFonts w:ascii="Times New Roman" w:hAnsi="Times New Roman"/>
          <w:sz w:val="20"/>
        </w:rPr>
        <w:t xml:space="preserve">access </w:t>
      </w:r>
      <w:r>
        <w:rPr>
          <w:rFonts w:ascii="Times New Roman" w:hAnsi="Times New Roman"/>
          <w:sz w:val="20"/>
        </w:rPr>
        <w:t xml:space="preserve">(RA) </w:t>
      </w:r>
      <w:r w:rsidRPr="009161D4">
        <w:rPr>
          <w:rFonts w:ascii="Times New Roman" w:hAnsi="Times New Roman"/>
          <w:sz w:val="20"/>
        </w:rPr>
        <w:t xml:space="preserve">requirements </w:t>
      </w:r>
      <w:r>
        <w:rPr>
          <w:rFonts w:ascii="Times New Roman" w:hAnsi="Times New Roman"/>
          <w:sz w:val="20"/>
        </w:rPr>
        <w:t xml:space="preserve">are </w:t>
      </w:r>
      <w:r w:rsidRPr="009161D4">
        <w:rPr>
          <w:rFonts w:ascii="Times New Roman" w:hAnsi="Times New Roman"/>
          <w:sz w:val="20"/>
        </w:rPr>
        <w:t xml:space="preserve">defined </w:t>
      </w:r>
      <w:r>
        <w:rPr>
          <w:rFonts w:ascii="Times New Roman" w:hAnsi="Times New Roman"/>
          <w:sz w:val="20"/>
        </w:rPr>
        <w:t>for the UE for contention based as well for non-</w:t>
      </w:r>
      <w:proofErr w:type="gramStart"/>
      <w:r>
        <w:rPr>
          <w:rFonts w:ascii="Times New Roman" w:hAnsi="Times New Roman"/>
          <w:sz w:val="20"/>
        </w:rPr>
        <w:t>contention based</w:t>
      </w:r>
      <w:proofErr w:type="gramEnd"/>
      <w:r>
        <w:rPr>
          <w:rFonts w:ascii="Times New Roman" w:hAnsi="Times New Roman"/>
          <w:sz w:val="20"/>
        </w:rPr>
        <w:t xml:space="preserve"> RA.</w:t>
      </w:r>
    </w:p>
    <w:p w14:paraId="0E68F170" w14:textId="23E99AE1" w:rsidR="00F3063F" w:rsidRPr="00F3063F" w:rsidRDefault="00266652" w:rsidP="00F3063F">
      <w:pPr>
        <w:pStyle w:val="ListParagraph"/>
        <w:spacing w:before="240"/>
        <w:ind w:left="357"/>
        <w:contextualSpacing w:val="0"/>
        <w:rPr>
          <w:rFonts w:ascii="Times New Roman" w:hAnsi="Times New Roman"/>
          <w:sz w:val="20"/>
        </w:rPr>
      </w:pPr>
      <w:r w:rsidRPr="009161D4">
        <w:rPr>
          <w:rFonts w:ascii="Times New Roman" w:hAnsi="Times New Roman"/>
          <w:sz w:val="20"/>
        </w:rPr>
        <w:lastRenderedPageBreak/>
        <w:t>The existing random</w:t>
      </w:r>
      <w:r w:rsidR="00EB3818">
        <w:rPr>
          <w:rFonts w:ascii="Times New Roman" w:hAnsi="Times New Roman"/>
          <w:sz w:val="20"/>
        </w:rPr>
        <w:t xml:space="preserve"> </w:t>
      </w:r>
      <w:r w:rsidRPr="009161D4">
        <w:rPr>
          <w:rFonts w:ascii="Times New Roman" w:hAnsi="Times New Roman"/>
          <w:sz w:val="20"/>
        </w:rPr>
        <w:t xml:space="preserve">access </w:t>
      </w:r>
      <w:r w:rsidR="00EB3818">
        <w:rPr>
          <w:rFonts w:ascii="Times New Roman" w:hAnsi="Times New Roman"/>
          <w:sz w:val="20"/>
        </w:rPr>
        <w:t xml:space="preserve">(RA) </w:t>
      </w:r>
      <w:r w:rsidRPr="009161D4">
        <w:rPr>
          <w:rFonts w:ascii="Times New Roman" w:hAnsi="Times New Roman"/>
          <w:sz w:val="20"/>
        </w:rPr>
        <w:t xml:space="preserve">requirements defined in section 6.2.2 of TS 38.133 can be reused for IAB.  </w:t>
      </w:r>
    </w:p>
    <w:p w14:paraId="6AC059B4" w14:textId="1464DF0D" w:rsidR="00D87095" w:rsidRPr="00D87095" w:rsidRDefault="004D59A5" w:rsidP="00D87095">
      <w:pPr>
        <w:pStyle w:val="Heading2"/>
        <w:numPr>
          <w:ilvl w:val="1"/>
          <w:numId w:val="5"/>
        </w:numPr>
      </w:pPr>
      <w:r w:rsidRPr="009161D4">
        <w:t>RRC release with redirectio</w:t>
      </w:r>
      <w:r w:rsidR="00974237" w:rsidRPr="009161D4">
        <w:t>n</w:t>
      </w:r>
    </w:p>
    <w:p w14:paraId="218ACCB2" w14:textId="17508105" w:rsidR="00D87095" w:rsidRDefault="00D87095" w:rsidP="00D87095">
      <w:pPr>
        <w:pStyle w:val="ListParagraph"/>
        <w:spacing w:before="120"/>
        <w:ind w:left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</w:t>
      </w:r>
      <w:r w:rsidRPr="00D87095">
        <w:rPr>
          <w:rFonts w:ascii="Times New Roman" w:hAnsi="Times New Roman"/>
          <w:sz w:val="20"/>
        </w:rPr>
        <w:t xml:space="preserve">RRC </w:t>
      </w:r>
      <w:r>
        <w:rPr>
          <w:rFonts w:ascii="Times New Roman" w:hAnsi="Times New Roman"/>
          <w:sz w:val="20"/>
        </w:rPr>
        <w:t xml:space="preserve">connection release with redirection </w:t>
      </w:r>
      <w:r w:rsidRPr="00D87095">
        <w:rPr>
          <w:rFonts w:ascii="Times New Roman" w:hAnsi="Times New Roman"/>
          <w:sz w:val="20"/>
        </w:rPr>
        <w:t>requirements for the UE are defined in terms of delay or time required to re</w:t>
      </w:r>
      <w:r w:rsidR="006874C9">
        <w:rPr>
          <w:rFonts w:ascii="Times New Roman" w:hAnsi="Times New Roman"/>
          <w:sz w:val="20"/>
        </w:rPr>
        <w:t xml:space="preserve">-direct </w:t>
      </w:r>
      <w:r w:rsidRPr="00D87095">
        <w:rPr>
          <w:rFonts w:ascii="Times New Roman" w:hAnsi="Times New Roman"/>
          <w:sz w:val="20"/>
        </w:rPr>
        <w:t>the connection to a target cell</w:t>
      </w:r>
      <w:r w:rsidR="002A1466">
        <w:rPr>
          <w:rFonts w:ascii="Times New Roman" w:hAnsi="Times New Roman"/>
          <w:sz w:val="20"/>
        </w:rPr>
        <w:t xml:space="preserve"> on the indicated carrier</w:t>
      </w:r>
      <w:r w:rsidRPr="00D87095">
        <w:rPr>
          <w:rFonts w:ascii="Times New Roman" w:hAnsi="Times New Roman"/>
          <w:sz w:val="20"/>
        </w:rPr>
        <w:t>.</w:t>
      </w:r>
    </w:p>
    <w:p w14:paraId="560C87A6" w14:textId="66EE9B15" w:rsidR="004D59A5" w:rsidRPr="009161D4" w:rsidRDefault="00974237" w:rsidP="00D87095">
      <w:pPr>
        <w:pStyle w:val="ListParagraph"/>
        <w:spacing w:before="120"/>
        <w:ind w:left="357"/>
        <w:contextualSpacing w:val="0"/>
        <w:rPr>
          <w:rFonts w:ascii="Times New Roman" w:hAnsi="Times New Roman"/>
          <w:sz w:val="20"/>
        </w:rPr>
      </w:pPr>
      <w:r w:rsidRPr="009161D4">
        <w:rPr>
          <w:rFonts w:ascii="Times New Roman" w:hAnsi="Times New Roman"/>
          <w:sz w:val="20"/>
        </w:rPr>
        <w:t xml:space="preserve">The existing RRC connection release with redirection to NR requirements defined in section 6.2.3.2.1 </w:t>
      </w:r>
      <w:r w:rsidR="00171FCF" w:rsidRPr="009161D4">
        <w:rPr>
          <w:rFonts w:ascii="Times New Roman" w:hAnsi="Times New Roman"/>
          <w:sz w:val="20"/>
        </w:rPr>
        <w:t xml:space="preserve">of TS 38.133 </w:t>
      </w:r>
      <w:r w:rsidRPr="009161D4">
        <w:rPr>
          <w:rFonts w:ascii="Times New Roman" w:hAnsi="Times New Roman"/>
          <w:sz w:val="20"/>
        </w:rPr>
        <w:t xml:space="preserve">for the UE are </w:t>
      </w:r>
      <w:r w:rsidR="000F169D" w:rsidRPr="009161D4">
        <w:rPr>
          <w:rFonts w:ascii="Times New Roman" w:hAnsi="Times New Roman"/>
          <w:sz w:val="20"/>
        </w:rPr>
        <w:t xml:space="preserve">also </w:t>
      </w:r>
      <w:r w:rsidRPr="009161D4">
        <w:rPr>
          <w:rFonts w:ascii="Times New Roman" w:hAnsi="Times New Roman"/>
          <w:sz w:val="20"/>
        </w:rPr>
        <w:t xml:space="preserve">derived assuming the SSB periodicity of 20 </w:t>
      </w:r>
      <w:proofErr w:type="spellStart"/>
      <w:r w:rsidRPr="009161D4">
        <w:rPr>
          <w:rFonts w:ascii="Times New Roman" w:hAnsi="Times New Roman"/>
          <w:sz w:val="20"/>
        </w:rPr>
        <w:t>ms</w:t>
      </w:r>
      <w:proofErr w:type="spellEnd"/>
      <w:r w:rsidRPr="009161D4">
        <w:rPr>
          <w:rFonts w:ascii="Times New Roman" w:hAnsi="Times New Roman"/>
          <w:sz w:val="20"/>
        </w:rPr>
        <w:t xml:space="preserve"> for initial access. The SSB periodicity of 20 </w:t>
      </w:r>
      <w:proofErr w:type="spellStart"/>
      <w:r w:rsidRPr="009161D4">
        <w:rPr>
          <w:rFonts w:ascii="Times New Roman" w:hAnsi="Times New Roman"/>
          <w:sz w:val="20"/>
        </w:rPr>
        <w:t>ms</w:t>
      </w:r>
      <w:proofErr w:type="spellEnd"/>
      <w:r w:rsidRPr="009161D4">
        <w:rPr>
          <w:rFonts w:ascii="Times New Roman" w:hAnsi="Times New Roman"/>
          <w:sz w:val="20"/>
        </w:rPr>
        <w:t xml:space="preserve"> for initial access is 160 </w:t>
      </w:r>
      <w:proofErr w:type="spellStart"/>
      <w:r w:rsidRPr="009161D4">
        <w:rPr>
          <w:rFonts w:ascii="Times New Roman" w:hAnsi="Times New Roman"/>
          <w:sz w:val="20"/>
        </w:rPr>
        <w:t>ms.</w:t>
      </w:r>
      <w:proofErr w:type="spellEnd"/>
      <w:r w:rsidRPr="009161D4">
        <w:rPr>
          <w:rFonts w:ascii="Times New Roman" w:hAnsi="Times New Roman"/>
          <w:sz w:val="20"/>
        </w:rPr>
        <w:t xml:space="preserve"> Therefore, some aspects of the requirements defined in section 6.2.</w:t>
      </w:r>
      <w:r w:rsidR="000F169D" w:rsidRPr="009161D4">
        <w:rPr>
          <w:rFonts w:ascii="Times New Roman" w:hAnsi="Times New Roman"/>
          <w:sz w:val="20"/>
        </w:rPr>
        <w:t>3.2.1</w:t>
      </w:r>
      <w:r w:rsidRPr="009161D4">
        <w:rPr>
          <w:rFonts w:ascii="Times New Roman" w:hAnsi="Times New Roman"/>
          <w:sz w:val="20"/>
        </w:rPr>
        <w:t xml:space="preserve"> needs to be adapted to SSB periodicity of 160 </w:t>
      </w:r>
      <w:proofErr w:type="spellStart"/>
      <w:r w:rsidRPr="009161D4">
        <w:rPr>
          <w:rFonts w:ascii="Times New Roman" w:hAnsi="Times New Roman"/>
          <w:sz w:val="20"/>
        </w:rPr>
        <w:t>ms.</w:t>
      </w:r>
      <w:proofErr w:type="spellEnd"/>
      <w:r w:rsidRPr="009161D4">
        <w:rPr>
          <w:rFonts w:ascii="Times New Roman" w:hAnsi="Times New Roman"/>
          <w:sz w:val="20"/>
        </w:rPr>
        <w:t xml:space="preserve"> </w:t>
      </w:r>
      <w:proofErr w:type="gramStart"/>
      <w:r w:rsidRPr="009161D4">
        <w:rPr>
          <w:rFonts w:ascii="Times New Roman" w:hAnsi="Times New Roman"/>
          <w:sz w:val="20"/>
        </w:rPr>
        <w:t>Furthermore</w:t>
      </w:r>
      <w:proofErr w:type="gramEnd"/>
      <w:r w:rsidRPr="009161D4">
        <w:rPr>
          <w:rFonts w:ascii="Times New Roman" w:hAnsi="Times New Roman"/>
          <w:sz w:val="20"/>
        </w:rPr>
        <w:t xml:space="preserve"> the minimum cell identification time needs to be extended to </w:t>
      </w:r>
      <w:proofErr w:type="spellStart"/>
      <w:r w:rsidRPr="009161D4">
        <w:rPr>
          <w:rFonts w:ascii="Times New Roman" w:hAnsi="Times New Roman"/>
          <w:sz w:val="20"/>
        </w:rPr>
        <w:t>accoumt</w:t>
      </w:r>
      <w:proofErr w:type="spellEnd"/>
      <w:r w:rsidRPr="009161D4">
        <w:rPr>
          <w:rFonts w:ascii="Times New Roman" w:hAnsi="Times New Roman"/>
          <w:sz w:val="20"/>
        </w:rPr>
        <w:t xml:space="preserve"> for longest SSB periodicity supported for IAB. Otherwise in principle the basic concept of section 6.2</w:t>
      </w:r>
      <w:r w:rsidR="000F169D" w:rsidRPr="009161D4">
        <w:rPr>
          <w:rFonts w:ascii="Times New Roman" w:hAnsi="Times New Roman"/>
          <w:sz w:val="20"/>
        </w:rPr>
        <w:t xml:space="preserve">.3.2.1 </w:t>
      </w:r>
      <w:r w:rsidRPr="009161D4">
        <w:rPr>
          <w:rFonts w:ascii="Times New Roman" w:hAnsi="Times New Roman"/>
          <w:sz w:val="20"/>
        </w:rPr>
        <w:t>can be used for deriving the corresponding requirements for IAB.</w:t>
      </w:r>
    </w:p>
    <w:p w14:paraId="45C1AC25" w14:textId="77777777" w:rsidR="00CC6F36" w:rsidRPr="00E70366" w:rsidRDefault="00CC6F36" w:rsidP="00F3063F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6F0D8B05" w14:textId="20B8B8DE" w:rsidR="00165483" w:rsidRPr="003C4CA3" w:rsidRDefault="00CC6F36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</w:t>
      </w:r>
      <w:r w:rsidR="004D50F4">
        <w:rPr>
          <w:sz w:val="22"/>
          <w:szCs w:val="22"/>
        </w:rPr>
        <w:t xml:space="preserve">have analysed </w:t>
      </w:r>
      <w:r w:rsidR="00BF68BB">
        <w:rPr>
          <w:sz w:val="22"/>
          <w:szCs w:val="22"/>
        </w:rPr>
        <w:t xml:space="preserve">the list of </w:t>
      </w:r>
      <w:proofErr w:type="spellStart"/>
      <w:r w:rsidR="003C4CA3">
        <w:rPr>
          <w:sz w:val="22"/>
          <w:szCs w:val="22"/>
        </w:rPr>
        <w:t>of</w:t>
      </w:r>
      <w:proofErr w:type="spellEnd"/>
      <w:r w:rsidR="003C4CA3">
        <w:rPr>
          <w:sz w:val="22"/>
          <w:szCs w:val="22"/>
        </w:rPr>
        <w:t xml:space="preserve"> the potential impact on RRM work in RAN4</w:t>
      </w:r>
      <w:r w:rsidR="00C4375E" w:rsidRPr="00990C15">
        <w:rPr>
          <w:sz w:val="22"/>
          <w:szCs w:val="22"/>
        </w:rPr>
        <w:t>.</w:t>
      </w:r>
      <w:r w:rsidR="000467E3">
        <w:rPr>
          <w:sz w:val="22"/>
          <w:szCs w:val="22"/>
        </w:rPr>
        <w:t xml:space="preserve"> </w:t>
      </w:r>
      <w:bookmarkStart w:id="3" w:name="_Hlk23953093"/>
      <w:r w:rsidR="000467E3">
        <w:rPr>
          <w:sz w:val="22"/>
          <w:szCs w:val="22"/>
        </w:rPr>
        <w:t>F</w:t>
      </w:r>
      <w:r w:rsidR="00E86FF9">
        <w:rPr>
          <w:sz w:val="22"/>
          <w:szCs w:val="22"/>
        </w:rPr>
        <w:t xml:space="preserve">ollowing </w:t>
      </w:r>
      <w:r w:rsidR="00830921">
        <w:rPr>
          <w:sz w:val="22"/>
          <w:szCs w:val="22"/>
        </w:rPr>
        <w:t xml:space="preserve">are the </w:t>
      </w:r>
      <w:r w:rsidR="000467E3">
        <w:rPr>
          <w:sz w:val="22"/>
          <w:szCs w:val="22"/>
        </w:rPr>
        <w:t xml:space="preserve">main </w:t>
      </w:r>
      <w:r w:rsidR="00506C4B">
        <w:rPr>
          <w:sz w:val="22"/>
          <w:szCs w:val="22"/>
        </w:rPr>
        <w:t>proposals</w:t>
      </w:r>
      <w:r w:rsidR="000467E3">
        <w:rPr>
          <w:sz w:val="22"/>
          <w:szCs w:val="22"/>
        </w:rPr>
        <w:t xml:space="preserve"> for the list of the requirements agreed to be introduced for IAB</w:t>
      </w:r>
      <w:r w:rsidR="00A73BEC" w:rsidRPr="00990C15">
        <w:rPr>
          <w:sz w:val="22"/>
          <w:szCs w:val="22"/>
        </w:rPr>
        <w:t>:</w:t>
      </w:r>
    </w:p>
    <w:p w14:paraId="174B6E1F" w14:textId="2C19C799" w:rsidR="00347EB2" w:rsidRDefault="00347EB2" w:rsidP="00F3063F">
      <w:pPr>
        <w:pStyle w:val="ListParagraph"/>
        <w:numPr>
          <w:ilvl w:val="0"/>
          <w:numId w:val="3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Proposal</w:t>
      </w:r>
      <w:r w:rsidRPr="001D6B68">
        <w:rPr>
          <w:rFonts w:ascii="Times New Roman" w:hAnsi="Times New Roman"/>
          <w:b/>
          <w:sz w:val="20"/>
        </w:rPr>
        <w:t xml:space="preserve"> # </w:t>
      </w:r>
      <w:r>
        <w:rPr>
          <w:rFonts w:ascii="Times New Roman" w:hAnsi="Times New Roman"/>
          <w:b/>
          <w:sz w:val="20"/>
        </w:rPr>
        <w:t>1</w:t>
      </w:r>
      <w:r w:rsidRPr="001D6B68">
        <w:rPr>
          <w:rFonts w:ascii="Times New Roman" w:hAnsi="Times New Roman"/>
          <w:b/>
          <w:sz w:val="20"/>
        </w:rPr>
        <w:t xml:space="preserve">: </w:t>
      </w:r>
      <w:r w:rsidR="00E43576">
        <w:rPr>
          <w:rFonts w:ascii="Times New Roman" w:hAnsi="Times New Roman"/>
          <w:sz w:val="20"/>
        </w:rPr>
        <w:t xml:space="preserve">The RRC re-establishment requirements </w:t>
      </w:r>
      <w:r w:rsidR="00695237">
        <w:rPr>
          <w:rFonts w:ascii="Times New Roman" w:hAnsi="Times New Roman"/>
          <w:sz w:val="20"/>
        </w:rPr>
        <w:t xml:space="preserve">and RRC release with redirection requirements </w:t>
      </w:r>
      <w:r w:rsidR="00E43576">
        <w:rPr>
          <w:rFonts w:ascii="Times New Roman" w:hAnsi="Times New Roman"/>
          <w:sz w:val="20"/>
        </w:rPr>
        <w:t xml:space="preserve">for IAB </w:t>
      </w:r>
      <w:r w:rsidR="00695237">
        <w:rPr>
          <w:rFonts w:ascii="Times New Roman" w:hAnsi="Times New Roman"/>
          <w:sz w:val="20"/>
        </w:rPr>
        <w:t xml:space="preserve">MT </w:t>
      </w:r>
      <w:r w:rsidR="00E43576">
        <w:rPr>
          <w:rFonts w:ascii="Times New Roman" w:hAnsi="Times New Roman"/>
          <w:sz w:val="20"/>
        </w:rPr>
        <w:t xml:space="preserve">are defined considering SSB periodicity of 160 </w:t>
      </w:r>
      <w:proofErr w:type="spellStart"/>
      <w:r w:rsidR="00E43576">
        <w:rPr>
          <w:rFonts w:ascii="Times New Roman" w:hAnsi="Times New Roman"/>
          <w:sz w:val="20"/>
        </w:rPr>
        <w:t>ms</w:t>
      </w:r>
      <w:proofErr w:type="spellEnd"/>
      <w:r w:rsidR="00E43576">
        <w:rPr>
          <w:rFonts w:ascii="Times New Roman" w:hAnsi="Times New Roman"/>
          <w:sz w:val="20"/>
        </w:rPr>
        <w:t xml:space="preserve"> for initial access and the longest SSB periodicity supported for IAB</w:t>
      </w:r>
      <w:r w:rsidR="00695237">
        <w:rPr>
          <w:rFonts w:ascii="Times New Roman" w:hAnsi="Times New Roman"/>
          <w:sz w:val="20"/>
        </w:rPr>
        <w:t xml:space="preserve"> MT</w:t>
      </w:r>
      <w:r>
        <w:rPr>
          <w:rFonts w:ascii="Times New Roman" w:hAnsi="Times New Roman"/>
          <w:sz w:val="20"/>
        </w:rPr>
        <w:t>.</w:t>
      </w:r>
    </w:p>
    <w:p w14:paraId="38898C40" w14:textId="710F2FC3" w:rsidR="00060506" w:rsidRDefault="00060506" w:rsidP="00F3063F">
      <w:pPr>
        <w:pStyle w:val="ListParagraph"/>
        <w:numPr>
          <w:ilvl w:val="0"/>
          <w:numId w:val="3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Proposal</w:t>
      </w:r>
      <w:r w:rsidRPr="006464D9">
        <w:rPr>
          <w:rFonts w:ascii="Times New Roman" w:hAnsi="Times New Roman"/>
          <w:b/>
          <w:sz w:val="20"/>
        </w:rPr>
        <w:t xml:space="preserve"> # </w:t>
      </w:r>
      <w:r w:rsidR="00CA4F55">
        <w:rPr>
          <w:rFonts w:ascii="Times New Roman" w:hAnsi="Times New Roman"/>
          <w:b/>
          <w:sz w:val="20"/>
        </w:rPr>
        <w:t>2</w:t>
      </w:r>
      <w:r w:rsidRPr="006464D9">
        <w:rPr>
          <w:rFonts w:ascii="Times New Roman" w:hAnsi="Times New Roman"/>
          <w:b/>
          <w:sz w:val="20"/>
        </w:rPr>
        <w:t>:</w:t>
      </w:r>
      <w:r>
        <w:rPr>
          <w:rFonts w:ascii="Times New Roman" w:hAnsi="Times New Roman"/>
          <w:b/>
          <w:sz w:val="20"/>
        </w:rPr>
        <w:t xml:space="preserve"> </w:t>
      </w:r>
      <w:r w:rsidR="00695237">
        <w:rPr>
          <w:rFonts w:ascii="Times New Roman" w:hAnsi="Times New Roman"/>
          <w:sz w:val="20"/>
        </w:rPr>
        <w:t xml:space="preserve">The </w:t>
      </w:r>
      <w:r w:rsidR="007C2A22">
        <w:rPr>
          <w:rFonts w:ascii="Times New Roman" w:hAnsi="Times New Roman"/>
          <w:sz w:val="20"/>
        </w:rPr>
        <w:t>r</w:t>
      </w:r>
      <w:r w:rsidR="007C2A22" w:rsidRPr="00695237">
        <w:rPr>
          <w:rFonts w:ascii="Times New Roman" w:hAnsi="Times New Roman"/>
          <w:sz w:val="20"/>
        </w:rPr>
        <w:t>andom access</w:t>
      </w:r>
      <w:r w:rsidR="007C2A22">
        <w:rPr>
          <w:rFonts w:ascii="Times New Roman" w:hAnsi="Times New Roman"/>
          <w:sz w:val="20"/>
        </w:rPr>
        <w:t xml:space="preserve"> requirements defined in section 6.2.2</w:t>
      </w:r>
      <w:r w:rsidR="00695237">
        <w:rPr>
          <w:rFonts w:ascii="Times New Roman" w:hAnsi="Times New Roman"/>
          <w:sz w:val="20"/>
        </w:rPr>
        <w:t xml:space="preserve"> for the UE in TS 38.133 can be reused for IAB MT</w:t>
      </w:r>
      <w:r w:rsidR="007C2A22">
        <w:rPr>
          <w:rFonts w:ascii="Times New Roman" w:hAnsi="Times New Roman"/>
          <w:sz w:val="20"/>
        </w:rPr>
        <w:t>,</w:t>
      </w:r>
    </w:p>
    <w:bookmarkEnd w:id="3"/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5027A63F" w14:textId="577B7AB2" w:rsidR="00D223B1" w:rsidRPr="00B80BB3" w:rsidRDefault="00D223B1" w:rsidP="00F3063F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</w:rPr>
      </w:pPr>
      <w:r w:rsidRPr="00B80BB3">
        <w:rPr>
          <w:rFonts w:ascii="Times New Roman" w:hAnsi="Times New Roman"/>
          <w:sz w:val="20"/>
        </w:rPr>
        <w:t>R4-19</w:t>
      </w:r>
      <w:r w:rsidR="00BA2775">
        <w:rPr>
          <w:rFonts w:ascii="Times New Roman" w:hAnsi="Times New Roman"/>
          <w:sz w:val="20"/>
        </w:rPr>
        <w:t>12829</w:t>
      </w:r>
      <w:r w:rsidRPr="00B80BB3">
        <w:rPr>
          <w:rFonts w:ascii="Times New Roman" w:hAnsi="Times New Roman"/>
          <w:sz w:val="20"/>
        </w:rPr>
        <w:t>, “</w:t>
      </w:r>
      <w:r w:rsidR="00BA2775" w:rsidRPr="00BA2775">
        <w:rPr>
          <w:rFonts w:ascii="Times New Roman" w:hAnsi="Times New Roman"/>
          <w:sz w:val="20"/>
          <w:lang w:val="en-GB"/>
        </w:rPr>
        <w:t>Updated WF on IAB RRM Requirements</w:t>
      </w:r>
      <w:r w:rsidRPr="00B80BB3">
        <w:rPr>
          <w:rFonts w:ascii="Times New Roman" w:hAnsi="Times New Roman"/>
          <w:sz w:val="20"/>
        </w:rPr>
        <w:t xml:space="preserve">”, </w:t>
      </w:r>
      <w:r w:rsidR="00BA2775">
        <w:rPr>
          <w:rFonts w:ascii="Times New Roman" w:hAnsi="Times New Roman"/>
          <w:sz w:val="20"/>
        </w:rPr>
        <w:t>Qualcomm</w:t>
      </w:r>
    </w:p>
    <w:p w14:paraId="38666103" w14:textId="0632166B" w:rsidR="00830771" w:rsidRPr="00B80BB3" w:rsidRDefault="00830771" w:rsidP="00F3063F">
      <w:pPr>
        <w:numPr>
          <w:ilvl w:val="0"/>
          <w:numId w:val="1"/>
        </w:numPr>
        <w:tabs>
          <w:tab w:val="left" w:pos="567"/>
        </w:tabs>
        <w:spacing w:before="120" w:after="120"/>
        <w:ind w:left="357" w:hanging="357"/>
        <w:rPr>
          <w:lang w:val="en-US"/>
        </w:rPr>
      </w:pPr>
      <w:r w:rsidRPr="00B80BB3">
        <w:rPr>
          <w:lang w:val="en-US"/>
        </w:rPr>
        <w:t>R4-19</w:t>
      </w:r>
      <w:r w:rsidR="00A62337">
        <w:rPr>
          <w:lang w:val="en-US"/>
        </w:rPr>
        <w:t>12201</w:t>
      </w:r>
      <w:r w:rsidRPr="00B80BB3">
        <w:rPr>
          <w:lang w:val="en-US"/>
        </w:rPr>
        <w:t>, Further analysis of RRM Requirement for IAB, Ericsson</w:t>
      </w:r>
    </w:p>
    <w:sectPr w:rsidR="00830771" w:rsidRPr="00B80BB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1831D3" w:rsidRDefault="001831D3">
      <w:r>
        <w:separator/>
      </w:r>
    </w:p>
  </w:endnote>
  <w:endnote w:type="continuationSeparator" w:id="0">
    <w:p w14:paraId="49D9B48F" w14:textId="77777777" w:rsidR="001831D3" w:rsidRDefault="0018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1831D3" w:rsidRDefault="001831D3">
      <w:r>
        <w:separator/>
      </w:r>
    </w:p>
  </w:footnote>
  <w:footnote w:type="continuationSeparator" w:id="0">
    <w:p w14:paraId="5036D494" w14:textId="77777777" w:rsidR="001831D3" w:rsidRDefault="0018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6EBD"/>
    <w:multiLevelType w:val="multilevel"/>
    <w:tmpl w:val="50263CD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A11F0B"/>
    <w:multiLevelType w:val="hybridMultilevel"/>
    <w:tmpl w:val="64D48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643B"/>
    <w:rsid w:val="00036587"/>
    <w:rsid w:val="00037F60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6B58"/>
    <w:rsid w:val="000600C9"/>
    <w:rsid w:val="00060506"/>
    <w:rsid w:val="00060C2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25DC"/>
    <w:rsid w:val="00083A3F"/>
    <w:rsid w:val="00083AA0"/>
    <w:rsid w:val="00084101"/>
    <w:rsid w:val="00085062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5831"/>
    <w:rsid w:val="000B58A1"/>
    <w:rsid w:val="000B5DBE"/>
    <w:rsid w:val="000B5E32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6125"/>
    <w:rsid w:val="000F75F1"/>
    <w:rsid w:val="000F7768"/>
    <w:rsid w:val="00100C66"/>
    <w:rsid w:val="0010128A"/>
    <w:rsid w:val="00101471"/>
    <w:rsid w:val="00101D3C"/>
    <w:rsid w:val="00102382"/>
    <w:rsid w:val="00102D5A"/>
    <w:rsid w:val="00103296"/>
    <w:rsid w:val="00104DD5"/>
    <w:rsid w:val="00105AF9"/>
    <w:rsid w:val="001125AF"/>
    <w:rsid w:val="001126F4"/>
    <w:rsid w:val="00112C5D"/>
    <w:rsid w:val="00112DE1"/>
    <w:rsid w:val="00113875"/>
    <w:rsid w:val="001138A8"/>
    <w:rsid w:val="00113DA3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5243"/>
    <w:rsid w:val="001D56B4"/>
    <w:rsid w:val="001D5785"/>
    <w:rsid w:val="001D6B68"/>
    <w:rsid w:val="001D760C"/>
    <w:rsid w:val="001D7E97"/>
    <w:rsid w:val="001E063C"/>
    <w:rsid w:val="001E070D"/>
    <w:rsid w:val="001E0D82"/>
    <w:rsid w:val="001E3527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466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E0F49"/>
    <w:rsid w:val="002E1EE8"/>
    <w:rsid w:val="002E3947"/>
    <w:rsid w:val="002E3B7C"/>
    <w:rsid w:val="002E40A4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47EB2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D3B"/>
    <w:rsid w:val="003E705F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D73"/>
    <w:rsid w:val="00514E5C"/>
    <w:rsid w:val="00515562"/>
    <w:rsid w:val="005155D6"/>
    <w:rsid w:val="0051580D"/>
    <w:rsid w:val="0051681B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531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4C9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F61"/>
    <w:rsid w:val="00721BBA"/>
    <w:rsid w:val="00721F6F"/>
    <w:rsid w:val="00721FFE"/>
    <w:rsid w:val="007230E3"/>
    <w:rsid w:val="00723E83"/>
    <w:rsid w:val="00724112"/>
    <w:rsid w:val="00726993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F2E"/>
    <w:rsid w:val="00776328"/>
    <w:rsid w:val="00776E5F"/>
    <w:rsid w:val="007817A5"/>
    <w:rsid w:val="00782036"/>
    <w:rsid w:val="00782254"/>
    <w:rsid w:val="0078320C"/>
    <w:rsid w:val="00783DD5"/>
    <w:rsid w:val="00784537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E91"/>
    <w:rsid w:val="00797756"/>
    <w:rsid w:val="007979D2"/>
    <w:rsid w:val="00797AA9"/>
    <w:rsid w:val="007A0B32"/>
    <w:rsid w:val="007A27FB"/>
    <w:rsid w:val="007A2F5B"/>
    <w:rsid w:val="007A3211"/>
    <w:rsid w:val="007A458A"/>
    <w:rsid w:val="007A4A08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2A22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6AC0"/>
    <w:rsid w:val="008C6EF4"/>
    <w:rsid w:val="008C762E"/>
    <w:rsid w:val="008C7CF3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189B"/>
    <w:rsid w:val="008F1A00"/>
    <w:rsid w:val="008F1BA0"/>
    <w:rsid w:val="008F280B"/>
    <w:rsid w:val="008F2B7C"/>
    <w:rsid w:val="008F2C14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317E"/>
    <w:rsid w:val="009233C5"/>
    <w:rsid w:val="0092453D"/>
    <w:rsid w:val="00924665"/>
    <w:rsid w:val="00924BC8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97C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52C4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3AA8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4B77"/>
    <w:rsid w:val="00A8690E"/>
    <w:rsid w:val="00A87366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4409"/>
    <w:rsid w:val="00B85495"/>
    <w:rsid w:val="00B85611"/>
    <w:rsid w:val="00B873CD"/>
    <w:rsid w:val="00B87676"/>
    <w:rsid w:val="00B90669"/>
    <w:rsid w:val="00B90937"/>
    <w:rsid w:val="00B9124A"/>
    <w:rsid w:val="00B91B11"/>
    <w:rsid w:val="00B928C9"/>
    <w:rsid w:val="00B95682"/>
    <w:rsid w:val="00B9655A"/>
    <w:rsid w:val="00B968C8"/>
    <w:rsid w:val="00B96DBA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D22"/>
    <w:rsid w:val="00BE00EC"/>
    <w:rsid w:val="00BE02BD"/>
    <w:rsid w:val="00BE031C"/>
    <w:rsid w:val="00BE0487"/>
    <w:rsid w:val="00BE0FB5"/>
    <w:rsid w:val="00BE1473"/>
    <w:rsid w:val="00BE14F8"/>
    <w:rsid w:val="00BE3C38"/>
    <w:rsid w:val="00BE4232"/>
    <w:rsid w:val="00BE4E66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54BE"/>
    <w:rsid w:val="00BF5659"/>
    <w:rsid w:val="00BF68BB"/>
    <w:rsid w:val="00BF6E24"/>
    <w:rsid w:val="00BF6F62"/>
    <w:rsid w:val="00C00273"/>
    <w:rsid w:val="00C02101"/>
    <w:rsid w:val="00C02768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6B4"/>
    <w:rsid w:val="00D71A71"/>
    <w:rsid w:val="00D71B0A"/>
    <w:rsid w:val="00D726BF"/>
    <w:rsid w:val="00D72E7E"/>
    <w:rsid w:val="00D7355A"/>
    <w:rsid w:val="00D74995"/>
    <w:rsid w:val="00D75841"/>
    <w:rsid w:val="00D772B6"/>
    <w:rsid w:val="00D77779"/>
    <w:rsid w:val="00D8045C"/>
    <w:rsid w:val="00D81738"/>
    <w:rsid w:val="00D85D4B"/>
    <w:rsid w:val="00D86738"/>
    <w:rsid w:val="00D86A45"/>
    <w:rsid w:val="00D87095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6C57"/>
    <w:rsid w:val="00DC7AC4"/>
    <w:rsid w:val="00DD0EB9"/>
    <w:rsid w:val="00DD2737"/>
    <w:rsid w:val="00DD2AA9"/>
    <w:rsid w:val="00DD3603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4051"/>
    <w:rsid w:val="00DE4FD9"/>
    <w:rsid w:val="00DE6002"/>
    <w:rsid w:val="00DE7432"/>
    <w:rsid w:val="00DE7B0F"/>
    <w:rsid w:val="00DF019A"/>
    <w:rsid w:val="00DF24C4"/>
    <w:rsid w:val="00DF2BBB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CD"/>
    <w:rsid w:val="00E15AC9"/>
    <w:rsid w:val="00E16778"/>
    <w:rsid w:val="00E179CE"/>
    <w:rsid w:val="00E20569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9B4"/>
    <w:rsid w:val="00E75E9F"/>
    <w:rsid w:val="00E77670"/>
    <w:rsid w:val="00E777C8"/>
    <w:rsid w:val="00E77DFC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F57"/>
    <w:rsid w:val="00EE73A2"/>
    <w:rsid w:val="00EE7D7C"/>
    <w:rsid w:val="00EE7DEA"/>
    <w:rsid w:val="00EE7DF1"/>
    <w:rsid w:val="00EF04A2"/>
    <w:rsid w:val="00EF161C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63F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F9D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E2D3C-31E2-4933-8E78-05863BB0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577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13</cp:revision>
  <cp:lastPrinted>1899-12-31T23:00:00Z</cp:lastPrinted>
  <dcterms:created xsi:type="dcterms:W3CDTF">2019-11-08T15:20:00Z</dcterms:created>
  <dcterms:modified xsi:type="dcterms:W3CDTF">2019-11-08T16:44:00Z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